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367" w:rsidRPr="00497F2C" w:rsidRDefault="008B4367" w:rsidP="00AD4C78">
      <w:pPr>
        <w:jc w:val="both"/>
        <w:rPr>
          <w:rFonts w:ascii="Calibri" w:hAnsi="Calibri" w:cs="Calibri"/>
          <w:b/>
          <w:bCs/>
          <w:spacing w:val="0"/>
          <w:w w:val="100"/>
          <w:sz w:val="24"/>
          <w:szCs w:val="24"/>
        </w:rPr>
      </w:pPr>
      <w:r w:rsidRPr="00497F2C">
        <w:rPr>
          <w:rFonts w:ascii="Calibri" w:hAnsi="Calibri" w:cs="Calibri"/>
          <w:b/>
          <w:bCs/>
          <w:spacing w:val="0"/>
          <w:w w:val="100"/>
          <w:sz w:val="24"/>
          <w:szCs w:val="24"/>
        </w:rPr>
        <w:t>La vergogna dei P.E.B.A.: un’altra storia di “legge che c’è ma non viene applicata”</w:t>
      </w:r>
      <w:r>
        <w:rPr>
          <w:rFonts w:ascii="Calibri" w:hAnsi="Calibri" w:cs="Calibri"/>
          <w:b/>
          <w:bCs/>
          <w:spacing w:val="0"/>
          <w:w w:val="100"/>
          <w:sz w:val="24"/>
          <w:szCs w:val="24"/>
        </w:rPr>
        <w:t xml:space="preserve"> di  STEFANO D’ANDREAGIOVANNI –(UILDM-SEZ:TERAMO)</w:t>
      </w:r>
    </w:p>
    <w:p w:rsidR="008B4367" w:rsidRPr="00497F2C" w:rsidRDefault="008B4367" w:rsidP="00827BA6">
      <w:pPr>
        <w:jc w:val="both"/>
        <w:rPr>
          <w:rFonts w:ascii="Calibri" w:hAnsi="Calibri" w:cs="Calibri"/>
          <w:spacing w:val="0"/>
          <w:w w:val="100"/>
          <w:sz w:val="24"/>
          <w:szCs w:val="24"/>
        </w:rPr>
      </w:pPr>
      <w:r w:rsidRPr="00497F2C">
        <w:rPr>
          <w:rFonts w:ascii="Calibri" w:hAnsi="Calibri" w:cs="Calibri"/>
          <w:spacing w:val="0"/>
          <w:w w:val="100"/>
          <w:sz w:val="24"/>
          <w:szCs w:val="24"/>
        </w:rPr>
        <w:t>Pensate alle numerose barriere architettoniche nelle nostre città e a come esse siano state eliminate a macchia di leopardo, quasi sempre a fronte di lamentele e proteste da parte delle persone con disabilità che di volta in volta trovavano un impedimento all’accesso in edifici pubblici, andando a scuola, all’università o in un ufficio, oppure appena si siano trovate loro malgrado ad andare a vivere in un’abitazione “circondata” da marciapiedi senza scivoli o con tratti di strada con i più svariati ostacoli.</w:t>
      </w:r>
    </w:p>
    <w:p w:rsidR="008B4367" w:rsidRPr="00497F2C" w:rsidRDefault="008B4367" w:rsidP="00AD4C78">
      <w:pPr>
        <w:jc w:val="both"/>
        <w:rPr>
          <w:rFonts w:ascii="Calibri" w:hAnsi="Calibri" w:cs="Calibri"/>
          <w:spacing w:val="0"/>
          <w:w w:val="100"/>
          <w:sz w:val="24"/>
          <w:szCs w:val="24"/>
        </w:rPr>
      </w:pPr>
      <w:r w:rsidRPr="00497F2C">
        <w:rPr>
          <w:rFonts w:ascii="Calibri" w:hAnsi="Calibri" w:cs="Calibri"/>
          <w:spacing w:val="0"/>
          <w:w w:val="100"/>
          <w:sz w:val="24"/>
          <w:szCs w:val="24"/>
        </w:rPr>
        <w:t xml:space="preserve">Voi direste che le leggi a tutela in tal senso non ci siano o siano state emanate solo negli ultimi anni. Niente di tutto questo: le leggi ci sono a partire dalla Legge 118 del 30 marzo 1971, seguita da altre sempre molto precise ed evolute, ad integrare ed aggiornare la normativa in materia. </w:t>
      </w:r>
    </w:p>
    <w:p w:rsidR="008B4367" w:rsidRPr="00497F2C" w:rsidRDefault="008B4367" w:rsidP="0054207B">
      <w:pPr>
        <w:jc w:val="both"/>
        <w:rPr>
          <w:rFonts w:ascii="Calibri" w:hAnsi="Calibri" w:cs="Calibri"/>
          <w:spacing w:val="0"/>
          <w:w w:val="100"/>
          <w:sz w:val="24"/>
          <w:szCs w:val="24"/>
        </w:rPr>
      </w:pPr>
      <w:r w:rsidRPr="00497F2C">
        <w:rPr>
          <w:rFonts w:ascii="Calibri" w:hAnsi="Calibri" w:cs="Calibri"/>
          <w:spacing w:val="0"/>
          <w:w w:val="100"/>
          <w:sz w:val="24"/>
          <w:szCs w:val="24"/>
        </w:rPr>
        <w:t>In particolare l</w:t>
      </w:r>
      <w:r w:rsidRPr="00497F2C">
        <w:rPr>
          <w:rFonts w:ascii="Calibri" w:hAnsi="Calibri" w:cs="Calibri"/>
          <w:color w:val="444444"/>
          <w:spacing w:val="0"/>
          <w:w w:val="100"/>
          <w:sz w:val="24"/>
          <w:szCs w:val="24"/>
          <w:shd w:val="clear" w:color="auto" w:fill="FFFFFF"/>
        </w:rPr>
        <w:t>a</w:t>
      </w:r>
      <w:r w:rsidRPr="00497F2C">
        <w:rPr>
          <w:rStyle w:val="apple-converted-space"/>
          <w:rFonts w:ascii="Calibri" w:hAnsi="Calibri" w:cs="Calibri"/>
          <w:color w:val="444444"/>
          <w:spacing w:val="0"/>
          <w:w w:val="100"/>
          <w:sz w:val="24"/>
          <w:szCs w:val="24"/>
          <w:shd w:val="clear" w:color="auto" w:fill="FFFFFF"/>
        </w:rPr>
        <w:t> </w:t>
      </w:r>
      <w:hyperlink r:id="rId4" w:tooltip="Apre Handylex.org alla Legge 41/86" w:history="1">
        <w:r w:rsidRPr="00497F2C">
          <w:rPr>
            <w:rStyle w:val="Hyperlink"/>
            <w:rFonts w:ascii="Calibri" w:hAnsi="Calibri" w:cs="Calibri"/>
            <w:b/>
            <w:bCs/>
            <w:color w:val="auto"/>
            <w:spacing w:val="0"/>
            <w:w w:val="100"/>
            <w:sz w:val="24"/>
            <w:szCs w:val="24"/>
            <w:u w:val="none"/>
            <w:bdr w:val="none" w:sz="0" w:space="0" w:color="auto" w:frame="1"/>
            <w:shd w:val="clear" w:color="auto" w:fill="FFFFFF"/>
          </w:rPr>
          <w:t>Legge 41/86</w:t>
        </w:r>
      </w:hyperlink>
      <w:r w:rsidRPr="00497F2C">
        <w:rPr>
          <w:rFonts w:ascii="Calibri" w:hAnsi="Calibri" w:cs="Calibri"/>
          <w:spacing w:val="0"/>
          <w:w w:val="100"/>
          <w:sz w:val="24"/>
          <w:szCs w:val="24"/>
        </w:rPr>
        <w:t xml:space="preserve">, </w:t>
      </w:r>
      <w:r w:rsidRPr="00497F2C">
        <w:rPr>
          <w:rFonts w:ascii="Calibri" w:hAnsi="Calibri" w:cs="Calibri"/>
          <w:color w:val="444444"/>
          <w:spacing w:val="0"/>
          <w:w w:val="100"/>
          <w:sz w:val="24"/>
          <w:szCs w:val="24"/>
          <w:shd w:val="clear" w:color="auto" w:fill="FFFFFF"/>
        </w:rPr>
        <w:t>all’</w:t>
      </w:r>
      <w:r w:rsidRPr="00497F2C">
        <w:rPr>
          <w:rStyle w:val="Strong"/>
          <w:rFonts w:ascii="Calibri" w:hAnsi="Calibri" w:cs="Calibri"/>
          <w:color w:val="444444"/>
          <w:spacing w:val="0"/>
          <w:w w:val="100"/>
          <w:sz w:val="24"/>
          <w:szCs w:val="24"/>
          <w:bdr w:val="none" w:sz="0" w:space="0" w:color="auto" w:frame="1"/>
          <w:shd w:val="clear" w:color="auto" w:fill="FFFFFF"/>
        </w:rPr>
        <w:t>articolo 32</w:t>
      </w:r>
      <w:r w:rsidRPr="00497F2C">
        <w:rPr>
          <w:rStyle w:val="apple-converted-space"/>
          <w:rFonts w:ascii="Calibri" w:hAnsi="Calibri" w:cs="Calibri"/>
          <w:b/>
          <w:bCs/>
          <w:color w:val="444444"/>
          <w:spacing w:val="0"/>
          <w:w w:val="100"/>
          <w:sz w:val="24"/>
          <w:szCs w:val="24"/>
          <w:bdr w:val="none" w:sz="0" w:space="0" w:color="auto" w:frame="1"/>
          <w:shd w:val="clear" w:color="auto" w:fill="FFFFFF"/>
        </w:rPr>
        <w:t> </w:t>
      </w:r>
      <w:r w:rsidRPr="00497F2C">
        <w:rPr>
          <w:rFonts w:ascii="Calibri" w:hAnsi="Calibri" w:cs="Calibri"/>
          <w:color w:val="444444"/>
          <w:spacing w:val="0"/>
          <w:w w:val="100"/>
          <w:sz w:val="24"/>
          <w:szCs w:val="24"/>
          <w:shd w:val="clear" w:color="auto" w:fill="FFFFFF"/>
        </w:rPr>
        <w:t xml:space="preserve">(comma 21 e comma 22), </w:t>
      </w:r>
      <w:r w:rsidRPr="00497F2C">
        <w:rPr>
          <w:rFonts w:ascii="Calibri" w:hAnsi="Calibri" w:cs="Calibri"/>
          <w:spacing w:val="0"/>
          <w:w w:val="100"/>
          <w:sz w:val="24"/>
          <w:szCs w:val="24"/>
        </w:rPr>
        <w:t xml:space="preserve">obbliga </w:t>
      </w:r>
      <w:r w:rsidRPr="00497F2C">
        <w:rPr>
          <w:rStyle w:val="apple-converted-space"/>
          <w:rFonts w:ascii="Calibri" w:hAnsi="Calibri" w:cs="Calibri"/>
          <w:color w:val="444444"/>
          <w:spacing w:val="0"/>
          <w:w w:val="100"/>
          <w:sz w:val="24"/>
          <w:szCs w:val="24"/>
          <w:shd w:val="clear" w:color="auto" w:fill="FFFFFF"/>
        </w:rPr>
        <w:t xml:space="preserve">Comuni e Provincie a predisporre </w:t>
      </w:r>
      <w:r w:rsidRPr="00497F2C">
        <w:rPr>
          <w:rFonts w:ascii="Calibri" w:hAnsi="Calibri" w:cs="Calibri"/>
          <w:color w:val="444444"/>
          <w:spacing w:val="0"/>
          <w:w w:val="100"/>
          <w:sz w:val="24"/>
          <w:szCs w:val="24"/>
          <w:shd w:val="clear" w:color="auto" w:fill="FFFFFF"/>
        </w:rPr>
        <w:t xml:space="preserve">piani di eliminazione delle barriere architettoniche (i cosiddetti P.E.B.A.) entro un anno dalla entrata in vigore dalla stessa, </w:t>
      </w:r>
      <w:r w:rsidRPr="00497F2C">
        <w:rPr>
          <w:rFonts w:ascii="Calibri" w:hAnsi="Calibri" w:cs="Calibri"/>
          <w:spacing w:val="0"/>
          <w:w w:val="100"/>
          <w:sz w:val="24"/>
          <w:szCs w:val="24"/>
        </w:rPr>
        <w:t>pena il commissariamento in materia da parte delle Regioni</w:t>
      </w:r>
      <w:r w:rsidRPr="00497F2C">
        <w:rPr>
          <w:rFonts w:ascii="Calibri" w:hAnsi="Calibri" w:cs="Calibri"/>
          <w:color w:val="444444"/>
          <w:spacing w:val="0"/>
          <w:w w:val="100"/>
          <w:sz w:val="24"/>
          <w:szCs w:val="24"/>
          <w:shd w:val="clear" w:color="auto" w:fill="FFFFFF"/>
        </w:rPr>
        <w:t>.</w:t>
      </w:r>
    </w:p>
    <w:p w:rsidR="008B4367" w:rsidRPr="00497F2C" w:rsidRDefault="008B4367" w:rsidP="0054207B">
      <w:pPr>
        <w:rPr>
          <w:rFonts w:ascii="Calibri" w:hAnsi="Calibri" w:cs="Calibri"/>
          <w:spacing w:val="0"/>
          <w:w w:val="100"/>
          <w:sz w:val="24"/>
          <w:szCs w:val="24"/>
        </w:rPr>
      </w:pPr>
      <w:r w:rsidRPr="00497F2C">
        <w:rPr>
          <w:rFonts w:ascii="Calibri" w:hAnsi="Calibri" w:cs="Calibri"/>
          <w:spacing w:val="0"/>
          <w:w w:val="100"/>
          <w:sz w:val="24"/>
          <w:szCs w:val="24"/>
        </w:rPr>
        <w:t xml:space="preserve">Successivamente, la </w:t>
      </w:r>
      <w:r w:rsidRPr="00497F2C">
        <w:rPr>
          <w:rFonts w:ascii="Calibri" w:hAnsi="Calibri" w:cs="Calibri"/>
          <w:b/>
          <w:bCs/>
          <w:spacing w:val="0"/>
          <w:w w:val="100"/>
          <w:sz w:val="24"/>
          <w:szCs w:val="24"/>
        </w:rPr>
        <w:t>Legge Quadro 104/92</w:t>
      </w:r>
      <w:r w:rsidRPr="00497F2C">
        <w:rPr>
          <w:rFonts w:ascii="Calibri" w:hAnsi="Calibri" w:cs="Calibri"/>
          <w:spacing w:val="0"/>
          <w:w w:val="100"/>
          <w:sz w:val="24"/>
          <w:szCs w:val="24"/>
        </w:rPr>
        <w:t xml:space="preserve"> sulla disabilità  </w:t>
      </w:r>
      <w:r w:rsidRPr="00497F2C">
        <w:rPr>
          <w:rFonts w:ascii="Calibri" w:hAnsi="Calibri" w:cs="Calibri"/>
          <w:b/>
          <w:bCs/>
          <w:spacing w:val="0"/>
          <w:w w:val="100"/>
          <w:sz w:val="24"/>
          <w:szCs w:val="24"/>
        </w:rPr>
        <w:t xml:space="preserve">ampliò la materia di competenza, </w:t>
      </w:r>
      <w:r w:rsidRPr="00497F2C">
        <w:rPr>
          <w:rFonts w:ascii="Calibri" w:hAnsi="Calibri" w:cs="Calibri"/>
          <w:spacing w:val="0"/>
          <w:w w:val="100"/>
          <w:sz w:val="24"/>
          <w:szCs w:val="24"/>
        </w:rPr>
        <w:t>con l’</w:t>
      </w:r>
      <w:r w:rsidRPr="00497F2C">
        <w:rPr>
          <w:rFonts w:ascii="Calibri" w:hAnsi="Calibri" w:cs="Calibri"/>
          <w:b/>
          <w:bCs/>
          <w:spacing w:val="0"/>
          <w:w w:val="100"/>
          <w:sz w:val="24"/>
          <w:szCs w:val="24"/>
        </w:rPr>
        <w:t xml:space="preserve">articolo 24 </w:t>
      </w:r>
      <w:r w:rsidRPr="00497F2C">
        <w:rPr>
          <w:rFonts w:ascii="Calibri" w:hAnsi="Calibri" w:cs="Calibri"/>
          <w:spacing w:val="0"/>
          <w:w w:val="100"/>
          <w:sz w:val="24"/>
          <w:szCs w:val="24"/>
        </w:rPr>
        <w:t xml:space="preserve">(comma 9), che stabiliva come </w:t>
      </w:r>
      <w:r w:rsidRPr="00497F2C">
        <w:rPr>
          <w:rFonts w:ascii="Calibri" w:hAnsi="Calibri" w:cs="Calibri"/>
          <w:color w:val="444444"/>
          <w:spacing w:val="0"/>
          <w:w w:val="100"/>
          <w:sz w:val="24"/>
          <w:szCs w:val="24"/>
          <w:shd w:val="clear" w:color="auto" w:fill="FFFFFF"/>
        </w:rPr>
        <w:t>«</w:t>
      </w:r>
      <w:r w:rsidRPr="00497F2C">
        <w:rPr>
          <w:rFonts w:ascii="Calibri" w:hAnsi="Calibri" w:cs="Calibri"/>
          <w:spacing w:val="0"/>
          <w:w w:val="100"/>
          <w:sz w:val="24"/>
          <w:szCs w:val="24"/>
        </w:rPr>
        <w:t>i piani di cui art. 32, comma 21, della legge 41 del 1986</w:t>
      </w:r>
      <w:r w:rsidRPr="00497F2C">
        <w:rPr>
          <w:rFonts w:ascii="Calibri" w:hAnsi="Calibri" w:cs="Calibri"/>
          <w:color w:val="444444"/>
          <w:spacing w:val="0"/>
          <w:w w:val="100"/>
          <w:sz w:val="24"/>
          <w:szCs w:val="24"/>
          <w:shd w:val="clear" w:color="auto" w:fill="FFFFFF"/>
        </w:rPr>
        <w:t>»</w:t>
      </w:r>
      <w:r w:rsidRPr="00497F2C">
        <w:rPr>
          <w:rFonts w:ascii="Calibri" w:hAnsi="Calibri" w:cs="Calibri"/>
          <w:spacing w:val="0"/>
          <w:w w:val="100"/>
          <w:sz w:val="24"/>
          <w:szCs w:val="24"/>
        </w:rPr>
        <w:t xml:space="preserve"> dovessero essere </w:t>
      </w:r>
      <w:r w:rsidRPr="00497F2C">
        <w:rPr>
          <w:rFonts w:ascii="Calibri" w:hAnsi="Calibri" w:cs="Calibri"/>
          <w:color w:val="444444"/>
          <w:spacing w:val="0"/>
          <w:w w:val="100"/>
          <w:sz w:val="24"/>
          <w:szCs w:val="24"/>
          <w:shd w:val="clear" w:color="auto" w:fill="FFFFFF"/>
        </w:rPr>
        <w:t>«</w:t>
      </w:r>
      <w:r w:rsidRPr="00497F2C">
        <w:rPr>
          <w:rFonts w:ascii="Calibri" w:hAnsi="Calibri" w:cs="Calibri"/>
          <w:spacing w:val="0"/>
          <w:w w:val="100"/>
          <w:sz w:val="24"/>
          <w:szCs w:val="24"/>
        </w:rPr>
        <w:t>modificati con integrazioni relative all’accessibilità degli spazi urbani, con particolare riferimento all’individuazione e alla realizzazione di percorsi accessibili, all’installazione di semafori acustici per non vedenti, alle rimozioni della segnaletica installata in modo da ostacolare la circolazione delle persone handicappate</w:t>
      </w:r>
      <w:r w:rsidRPr="00497F2C">
        <w:rPr>
          <w:rFonts w:ascii="Calibri" w:hAnsi="Calibri" w:cs="Calibri"/>
          <w:color w:val="444444"/>
          <w:spacing w:val="0"/>
          <w:w w:val="100"/>
          <w:sz w:val="24"/>
          <w:szCs w:val="24"/>
          <w:shd w:val="clear" w:color="auto" w:fill="FFFFFF"/>
        </w:rPr>
        <w:t>»</w:t>
      </w:r>
      <w:r w:rsidRPr="00497F2C">
        <w:rPr>
          <w:rFonts w:ascii="Calibri" w:hAnsi="Calibri" w:cs="Calibri"/>
          <w:spacing w:val="0"/>
          <w:w w:val="100"/>
          <w:sz w:val="24"/>
          <w:szCs w:val="24"/>
        </w:rPr>
        <w:t>.</w:t>
      </w:r>
    </w:p>
    <w:p w:rsidR="008B4367" w:rsidRPr="00497F2C" w:rsidRDefault="008B4367" w:rsidP="00AD4C78">
      <w:pPr>
        <w:jc w:val="both"/>
        <w:rPr>
          <w:rFonts w:ascii="Calibri" w:hAnsi="Calibri" w:cs="Calibri"/>
          <w:spacing w:val="0"/>
          <w:w w:val="100"/>
          <w:sz w:val="24"/>
          <w:szCs w:val="24"/>
        </w:rPr>
      </w:pPr>
      <w:r w:rsidRPr="00497F2C">
        <w:rPr>
          <w:rFonts w:ascii="Calibri" w:hAnsi="Calibri" w:cs="Calibri"/>
          <w:spacing w:val="0"/>
          <w:w w:val="100"/>
          <w:sz w:val="24"/>
          <w:szCs w:val="24"/>
        </w:rPr>
        <w:t xml:space="preserve">Il Piano per l’Eliminazione delle Barriere Architettoniche è lo strumento che la legge italiana impone agli Enti Locali per rendere totalmente accessibili alle persone con disabilità gli spazi pubblici sia a livello edilizio che urbano. Esso prevede un preciso rilievo delle barriere presenti negli edifici  e nei percorsi urbani, individuando le possibili soluzioni con stima di massima dei costi: si configura in tal modo la fase preliminare delle progettazioni degli interventi, nonché la definizione di esigenze prioritarie. Gli amministratori sono quindi tenuti a rimuovere le barriere architettoniche secondo una programmazione e non in maniera contingente e occasionale. </w:t>
      </w:r>
    </w:p>
    <w:p w:rsidR="008B4367" w:rsidRPr="00497F2C" w:rsidRDefault="008B4367" w:rsidP="0054207B">
      <w:pPr>
        <w:jc w:val="both"/>
        <w:rPr>
          <w:rFonts w:ascii="Calibri" w:hAnsi="Calibri" w:cs="Calibri"/>
          <w:spacing w:val="0"/>
          <w:w w:val="100"/>
          <w:sz w:val="24"/>
          <w:szCs w:val="24"/>
        </w:rPr>
      </w:pPr>
      <w:r w:rsidRPr="00497F2C">
        <w:rPr>
          <w:rFonts w:ascii="Calibri" w:hAnsi="Calibri" w:cs="Calibri"/>
          <w:spacing w:val="0"/>
          <w:w w:val="100"/>
          <w:sz w:val="24"/>
          <w:szCs w:val="24"/>
        </w:rPr>
        <w:t>Ad oggi degli oltre 8000 Comuni italiani sono ben pochi quelli che hanno elaborato i P.E.B.A., procrastinando un’inadempienza che dura da 27 anni.</w:t>
      </w:r>
    </w:p>
    <w:p w:rsidR="008B4367" w:rsidRPr="00497F2C" w:rsidRDefault="008B4367" w:rsidP="0054207B">
      <w:pPr>
        <w:jc w:val="both"/>
        <w:rPr>
          <w:rFonts w:ascii="Calibri" w:hAnsi="Calibri" w:cs="Calibri"/>
          <w:spacing w:val="0"/>
          <w:w w:val="100"/>
          <w:sz w:val="24"/>
          <w:szCs w:val="24"/>
        </w:rPr>
      </w:pPr>
      <w:r w:rsidRPr="00497F2C">
        <w:rPr>
          <w:rFonts w:ascii="Calibri" w:hAnsi="Calibri" w:cs="Calibri"/>
          <w:spacing w:val="0"/>
          <w:w w:val="100"/>
          <w:sz w:val="24"/>
          <w:szCs w:val="24"/>
        </w:rPr>
        <w:t>Siamo di fronte alla classica storia tipicamente italiana delle leggi che ci sono ma che non vengono applicate se non totalmente disattese. Senza fare troppa retorica sulle pari opportunità, sulla discriminazione di fatto nonostante mille parole, sui diritti negati, la questione è quanto mai concreta: bisogna pretendere che i Comuni rispettino le norme come siamo chiamati a fare tutti noi cittadini, ponendo fine a questa situazione di illegalità.</w:t>
      </w:r>
    </w:p>
    <w:p w:rsidR="008B4367" w:rsidRDefault="008B4367">
      <w:pPr>
        <w:rPr>
          <w:rFonts w:ascii="Calibri" w:hAnsi="Calibri" w:cs="Calibri"/>
          <w:spacing w:val="0"/>
          <w:w w:val="100"/>
          <w:sz w:val="24"/>
          <w:szCs w:val="24"/>
        </w:rPr>
      </w:pPr>
    </w:p>
    <w:p w:rsidR="008B4367" w:rsidRPr="00DB0CB7" w:rsidRDefault="008B4367">
      <w:pPr>
        <w:rPr>
          <w:rFonts w:ascii="Calibri" w:hAnsi="Calibri" w:cs="Calibri"/>
          <w:spacing w:val="0"/>
          <w:w w:val="100"/>
          <w:sz w:val="24"/>
          <w:szCs w:val="24"/>
        </w:rPr>
      </w:pPr>
    </w:p>
    <w:sectPr w:rsidR="008B4367" w:rsidRPr="00DB0CB7" w:rsidSect="00DA3C3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7522"/>
    <w:rsid w:val="00000F96"/>
    <w:rsid w:val="00006F6F"/>
    <w:rsid w:val="00034928"/>
    <w:rsid w:val="000366D9"/>
    <w:rsid w:val="00037A3C"/>
    <w:rsid w:val="00051D86"/>
    <w:rsid w:val="00052F4F"/>
    <w:rsid w:val="00054A98"/>
    <w:rsid w:val="000822D1"/>
    <w:rsid w:val="00094D78"/>
    <w:rsid w:val="000A7A47"/>
    <w:rsid w:val="000C16FF"/>
    <w:rsid w:val="000D5098"/>
    <w:rsid w:val="000D5BCC"/>
    <w:rsid w:val="000F0DDA"/>
    <w:rsid w:val="000F49EC"/>
    <w:rsid w:val="001203A0"/>
    <w:rsid w:val="00126987"/>
    <w:rsid w:val="00127E5E"/>
    <w:rsid w:val="00136400"/>
    <w:rsid w:val="001379A8"/>
    <w:rsid w:val="00146D79"/>
    <w:rsid w:val="00152C16"/>
    <w:rsid w:val="00156FC8"/>
    <w:rsid w:val="00182825"/>
    <w:rsid w:val="001907E0"/>
    <w:rsid w:val="0019304C"/>
    <w:rsid w:val="00193A89"/>
    <w:rsid w:val="001A4E83"/>
    <w:rsid w:val="001B72EE"/>
    <w:rsid w:val="001C6187"/>
    <w:rsid w:val="001D363E"/>
    <w:rsid w:val="001D3A96"/>
    <w:rsid w:val="001E344E"/>
    <w:rsid w:val="002038BE"/>
    <w:rsid w:val="002058CF"/>
    <w:rsid w:val="0020624E"/>
    <w:rsid w:val="00212576"/>
    <w:rsid w:val="00216930"/>
    <w:rsid w:val="0022187B"/>
    <w:rsid w:val="002230B0"/>
    <w:rsid w:val="0023294D"/>
    <w:rsid w:val="00233626"/>
    <w:rsid w:val="00260078"/>
    <w:rsid w:val="00261D3A"/>
    <w:rsid w:val="00266005"/>
    <w:rsid w:val="00280F0D"/>
    <w:rsid w:val="00283240"/>
    <w:rsid w:val="00286CE5"/>
    <w:rsid w:val="00291B82"/>
    <w:rsid w:val="00296E00"/>
    <w:rsid w:val="00297503"/>
    <w:rsid w:val="00297ED5"/>
    <w:rsid w:val="002A0320"/>
    <w:rsid w:val="002B13E2"/>
    <w:rsid w:val="002B6AE4"/>
    <w:rsid w:val="002C4315"/>
    <w:rsid w:val="002C698B"/>
    <w:rsid w:val="002E3F92"/>
    <w:rsid w:val="002E5024"/>
    <w:rsid w:val="002F3E33"/>
    <w:rsid w:val="002F59D9"/>
    <w:rsid w:val="00300053"/>
    <w:rsid w:val="00306715"/>
    <w:rsid w:val="003223BE"/>
    <w:rsid w:val="00326FB2"/>
    <w:rsid w:val="00332392"/>
    <w:rsid w:val="00374D9A"/>
    <w:rsid w:val="00383D3E"/>
    <w:rsid w:val="0038628C"/>
    <w:rsid w:val="00390464"/>
    <w:rsid w:val="003A0C82"/>
    <w:rsid w:val="003B19B3"/>
    <w:rsid w:val="003C5595"/>
    <w:rsid w:val="003D7D25"/>
    <w:rsid w:val="003E24C9"/>
    <w:rsid w:val="003E4748"/>
    <w:rsid w:val="003F4BF3"/>
    <w:rsid w:val="004217DC"/>
    <w:rsid w:val="00421CA9"/>
    <w:rsid w:val="00433359"/>
    <w:rsid w:val="00442A01"/>
    <w:rsid w:val="004649A8"/>
    <w:rsid w:val="00474109"/>
    <w:rsid w:val="00477316"/>
    <w:rsid w:val="00483E50"/>
    <w:rsid w:val="00486BF8"/>
    <w:rsid w:val="0049421F"/>
    <w:rsid w:val="004950F6"/>
    <w:rsid w:val="00497F2C"/>
    <w:rsid w:val="004C08A0"/>
    <w:rsid w:val="004C6631"/>
    <w:rsid w:val="004D31DB"/>
    <w:rsid w:val="004E043E"/>
    <w:rsid w:val="004F5F30"/>
    <w:rsid w:val="004F7111"/>
    <w:rsid w:val="00507EE9"/>
    <w:rsid w:val="00515275"/>
    <w:rsid w:val="00517779"/>
    <w:rsid w:val="0053020E"/>
    <w:rsid w:val="00541D82"/>
    <w:rsid w:val="0054207B"/>
    <w:rsid w:val="00561FC1"/>
    <w:rsid w:val="00571DE4"/>
    <w:rsid w:val="00571EA6"/>
    <w:rsid w:val="005724B8"/>
    <w:rsid w:val="005779C4"/>
    <w:rsid w:val="00584E95"/>
    <w:rsid w:val="0058631C"/>
    <w:rsid w:val="00586C17"/>
    <w:rsid w:val="00593A10"/>
    <w:rsid w:val="00593DE7"/>
    <w:rsid w:val="005941A9"/>
    <w:rsid w:val="005A0908"/>
    <w:rsid w:val="005B0BE9"/>
    <w:rsid w:val="005B1998"/>
    <w:rsid w:val="005B5F07"/>
    <w:rsid w:val="005B63EB"/>
    <w:rsid w:val="005B6D30"/>
    <w:rsid w:val="005C617B"/>
    <w:rsid w:val="005C758A"/>
    <w:rsid w:val="005D550C"/>
    <w:rsid w:val="005E3DC6"/>
    <w:rsid w:val="005E6566"/>
    <w:rsid w:val="005F123D"/>
    <w:rsid w:val="00600F7A"/>
    <w:rsid w:val="006015E2"/>
    <w:rsid w:val="006023E3"/>
    <w:rsid w:val="00606126"/>
    <w:rsid w:val="00622A56"/>
    <w:rsid w:val="006435DC"/>
    <w:rsid w:val="0064543F"/>
    <w:rsid w:val="0066436A"/>
    <w:rsid w:val="00686AB4"/>
    <w:rsid w:val="006930BC"/>
    <w:rsid w:val="006931B9"/>
    <w:rsid w:val="006A0B60"/>
    <w:rsid w:val="006A115D"/>
    <w:rsid w:val="006A2619"/>
    <w:rsid w:val="006B3F94"/>
    <w:rsid w:val="006C374D"/>
    <w:rsid w:val="006D31C7"/>
    <w:rsid w:val="006E6DC4"/>
    <w:rsid w:val="007076B7"/>
    <w:rsid w:val="007115FD"/>
    <w:rsid w:val="007151E6"/>
    <w:rsid w:val="007172B7"/>
    <w:rsid w:val="0072750F"/>
    <w:rsid w:val="00732DE3"/>
    <w:rsid w:val="00740F43"/>
    <w:rsid w:val="00741C50"/>
    <w:rsid w:val="00753327"/>
    <w:rsid w:val="007563AD"/>
    <w:rsid w:val="0076328C"/>
    <w:rsid w:val="00765879"/>
    <w:rsid w:val="00767CC6"/>
    <w:rsid w:val="00772E3D"/>
    <w:rsid w:val="0077527B"/>
    <w:rsid w:val="00780676"/>
    <w:rsid w:val="007806F0"/>
    <w:rsid w:val="00783A4D"/>
    <w:rsid w:val="00794F04"/>
    <w:rsid w:val="007A702C"/>
    <w:rsid w:val="007D78A6"/>
    <w:rsid w:val="007E1711"/>
    <w:rsid w:val="007F0310"/>
    <w:rsid w:val="00800855"/>
    <w:rsid w:val="00805BF8"/>
    <w:rsid w:val="008137A6"/>
    <w:rsid w:val="00817DE0"/>
    <w:rsid w:val="008209A5"/>
    <w:rsid w:val="00827BA6"/>
    <w:rsid w:val="00843F49"/>
    <w:rsid w:val="00877C63"/>
    <w:rsid w:val="008903DE"/>
    <w:rsid w:val="008B1992"/>
    <w:rsid w:val="008B1C42"/>
    <w:rsid w:val="008B4367"/>
    <w:rsid w:val="008E7257"/>
    <w:rsid w:val="00912B29"/>
    <w:rsid w:val="00915B71"/>
    <w:rsid w:val="0092119F"/>
    <w:rsid w:val="009228E5"/>
    <w:rsid w:val="00924A7B"/>
    <w:rsid w:val="009277D5"/>
    <w:rsid w:val="0093203D"/>
    <w:rsid w:val="00943C4B"/>
    <w:rsid w:val="00950AA3"/>
    <w:rsid w:val="00953DC5"/>
    <w:rsid w:val="009545E5"/>
    <w:rsid w:val="00954D20"/>
    <w:rsid w:val="0095681B"/>
    <w:rsid w:val="00962B81"/>
    <w:rsid w:val="009749F9"/>
    <w:rsid w:val="0097757A"/>
    <w:rsid w:val="0099059F"/>
    <w:rsid w:val="00993442"/>
    <w:rsid w:val="009A1B1B"/>
    <w:rsid w:val="009B55C2"/>
    <w:rsid w:val="009E40EE"/>
    <w:rsid w:val="009E5392"/>
    <w:rsid w:val="009F18C8"/>
    <w:rsid w:val="009F76BC"/>
    <w:rsid w:val="00A045DB"/>
    <w:rsid w:val="00A25BEA"/>
    <w:rsid w:val="00A32932"/>
    <w:rsid w:val="00A5287B"/>
    <w:rsid w:val="00A56877"/>
    <w:rsid w:val="00A6552C"/>
    <w:rsid w:val="00A73CCA"/>
    <w:rsid w:val="00A95029"/>
    <w:rsid w:val="00AA010B"/>
    <w:rsid w:val="00AA38A6"/>
    <w:rsid w:val="00AB4877"/>
    <w:rsid w:val="00AC0702"/>
    <w:rsid w:val="00AD3D16"/>
    <w:rsid w:val="00AD4C78"/>
    <w:rsid w:val="00AF458D"/>
    <w:rsid w:val="00AF6CCC"/>
    <w:rsid w:val="00B035E8"/>
    <w:rsid w:val="00B058CC"/>
    <w:rsid w:val="00B14595"/>
    <w:rsid w:val="00B25ECF"/>
    <w:rsid w:val="00B264FE"/>
    <w:rsid w:val="00B32335"/>
    <w:rsid w:val="00B3786E"/>
    <w:rsid w:val="00B50674"/>
    <w:rsid w:val="00B67522"/>
    <w:rsid w:val="00B8409D"/>
    <w:rsid w:val="00B86940"/>
    <w:rsid w:val="00BA2FAE"/>
    <w:rsid w:val="00BB36C5"/>
    <w:rsid w:val="00BB41A0"/>
    <w:rsid w:val="00BC2F70"/>
    <w:rsid w:val="00BD5EF2"/>
    <w:rsid w:val="00BF7820"/>
    <w:rsid w:val="00C115B6"/>
    <w:rsid w:val="00C132CC"/>
    <w:rsid w:val="00C1593A"/>
    <w:rsid w:val="00C4393A"/>
    <w:rsid w:val="00C43BAB"/>
    <w:rsid w:val="00C54314"/>
    <w:rsid w:val="00C7266F"/>
    <w:rsid w:val="00C91F2B"/>
    <w:rsid w:val="00C9606A"/>
    <w:rsid w:val="00CA445C"/>
    <w:rsid w:val="00CB6FDF"/>
    <w:rsid w:val="00CC0D06"/>
    <w:rsid w:val="00CC6CFB"/>
    <w:rsid w:val="00CC6F7A"/>
    <w:rsid w:val="00CD2130"/>
    <w:rsid w:val="00CD3DDF"/>
    <w:rsid w:val="00CD4E8C"/>
    <w:rsid w:val="00CD563D"/>
    <w:rsid w:val="00CF0972"/>
    <w:rsid w:val="00D05DD5"/>
    <w:rsid w:val="00D11C19"/>
    <w:rsid w:val="00D17DDA"/>
    <w:rsid w:val="00D21857"/>
    <w:rsid w:val="00D371AA"/>
    <w:rsid w:val="00D413E5"/>
    <w:rsid w:val="00D42C01"/>
    <w:rsid w:val="00D468E5"/>
    <w:rsid w:val="00D4710C"/>
    <w:rsid w:val="00D57C88"/>
    <w:rsid w:val="00D67919"/>
    <w:rsid w:val="00D77BD3"/>
    <w:rsid w:val="00D82C13"/>
    <w:rsid w:val="00DA332D"/>
    <w:rsid w:val="00DA3C3B"/>
    <w:rsid w:val="00DA5521"/>
    <w:rsid w:val="00DB0CB7"/>
    <w:rsid w:val="00DD72CF"/>
    <w:rsid w:val="00DE4266"/>
    <w:rsid w:val="00DF5A87"/>
    <w:rsid w:val="00E02D4A"/>
    <w:rsid w:val="00E14DE1"/>
    <w:rsid w:val="00E226F6"/>
    <w:rsid w:val="00E27749"/>
    <w:rsid w:val="00E401EF"/>
    <w:rsid w:val="00E41E1E"/>
    <w:rsid w:val="00E468EE"/>
    <w:rsid w:val="00E5712B"/>
    <w:rsid w:val="00E65CC1"/>
    <w:rsid w:val="00E75BE3"/>
    <w:rsid w:val="00EA0AE3"/>
    <w:rsid w:val="00EB4DF5"/>
    <w:rsid w:val="00EB543D"/>
    <w:rsid w:val="00EC37DE"/>
    <w:rsid w:val="00EC4A0C"/>
    <w:rsid w:val="00EC78D8"/>
    <w:rsid w:val="00EE1546"/>
    <w:rsid w:val="00EF1001"/>
    <w:rsid w:val="00EF3C9B"/>
    <w:rsid w:val="00EF6141"/>
    <w:rsid w:val="00EF64C3"/>
    <w:rsid w:val="00F025CB"/>
    <w:rsid w:val="00F0338F"/>
    <w:rsid w:val="00F04BA7"/>
    <w:rsid w:val="00F053F2"/>
    <w:rsid w:val="00F07369"/>
    <w:rsid w:val="00F15386"/>
    <w:rsid w:val="00F15DD5"/>
    <w:rsid w:val="00F305C8"/>
    <w:rsid w:val="00F42924"/>
    <w:rsid w:val="00F44288"/>
    <w:rsid w:val="00F44E9C"/>
    <w:rsid w:val="00F5141D"/>
    <w:rsid w:val="00F63245"/>
    <w:rsid w:val="00F6629C"/>
    <w:rsid w:val="00F67E17"/>
    <w:rsid w:val="00F71418"/>
    <w:rsid w:val="00F7627C"/>
    <w:rsid w:val="00F82004"/>
    <w:rsid w:val="00F848C8"/>
    <w:rsid w:val="00F87826"/>
    <w:rsid w:val="00FB6F74"/>
    <w:rsid w:val="00FC4C4E"/>
    <w:rsid w:val="00FC67AD"/>
    <w:rsid w:val="00FD25D6"/>
    <w:rsid w:val="00FE0602"/>
    <w:rsid w:val="00FF672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Calibri" w:hAnsi="Verdan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1AA"/>
    <w:pPr>
      <w:spacing w:after="200" w:line="276" w:lineRule="auto"/>
    </w:pPr>
    <w:rPr>
      <w:rFonts w:cs="Verdana"/>
      <w:spacing w:val="6"/>
      <w:w w:val="120"/>
      <w:sz w:val="16"/>
      <w:szCs w:val="16"/>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D371AA"/>
    <w:rPr>
      <w:b/>
      <w:bCs/>
    </w:rPr>
  </w:style>
  <w:style w:type="paragraph" w:styleId="ListParagraph">
    <w:name w:val="List Paragraph"/>
    <w:basedOn w:val="Normal"/>
    <w:uiPriority w:val="99"/>
    <w:qFormat/>
    <w:rsid w:val="00D371AA"/>
    <w:pPr>
      <w:ind w:left="720"/>
    </w:pPr>
  </w:style>
  <w:style w:type="character" w:customStyle="1" w:styleId="apple-converted-space">
    <w:name w:val="apple-converted-space"/>
    <w:basedOn w:val="DefaultParagraphFont"/>
    <w:uiPriority w:val="99"/>
    <w:rsid w:val="00AD4C78"/>
  </w:style>
  <w:style w:type="character" w:styleId="Hyperlink">
    <w:name w:val="Hyperlink"/>
    <w:basedOn w:val="DefaultParagraphFont"/>
    <w:uiPriority w:val="99"/>
    <w:semiHidden/>
    <w:rsid w:val="00AD4C78"/>
    <w:rPr>
      <w:color w:val="0000FF"/>
      <w:u w:val="single"/>
    </w:rPr>
  </w:style>
  <w:style w:type="character" w:styleId="Emphasis">
    <w:name w:val="Emphasis"/>
    <w:basedOn w:val="DefaultParagraphFont"/>
    <w:uiPriority w:val="99"/>
    <w:qFormat/>
    <w:rsid w:val="00AD4C7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andylex.org/stato/l280286.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473</Words>
  <Characters>2699</Characters>
  <Application>Microsoft Office Outlook</Application>
  <DocSecurity>0</DocSecurity>
  <Lines>0</Lines>
  <Paragraphs>0</Paragraphs>
  <ScaleCrop>false</ScaleCrop>
  <Company>EFGH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vergogna dei P</dc:title>
  <dc:subject/>
  <dc:creator>Stefano</dc:creator>
  <cp:keywords/>
  <dc:description/>
  <cp:lastModifiedBy>ABCD</cp:lastModifiedBy>
  <cp:revision>2</cp:revision>
  <dcterms:created xsi:type="dcterms:W3CDTF">2014-03-29T14:14:00Z</dcterms:created>
  <dcterms:modified xsi:type="dcterms:W3CDTF">2014-03-29T14:14:00Z</dcterms:modified>
</cp:coreProperties>
</file>